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D4E7" w14:textId="3264BD75" w:rsidR="00727146" w:rsidRPr="007B5BEB" w:rsidRDefault="00E5795F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แบบรายงานการทวนสอบผลสัม</w:t>
      </w:r>
      <w:bookmarkStart w:id="0" w:name="_GoBack"/>
      <w:bookmarkEnd w:id="0"/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 xml:space="preserve">ฤทธิ์นักศึกษา </w:t>
      </w:r>
    </w:p>
    <w:p w14:paraId="5100318E" w14:textId="37CA0C0B" w:rsidR="00727146" w:rsidRPr="007B5BEB" w:rsidRDefault="00E5795F">
      <w:pPr>
        <w:pStyle w:val="Body"/>
        <w:jc w:val="center"/>
        <w:rPr>
          <w:rFonts w:ascii="TH SarabunPSK" w:eastAsia="TH SarabunPSK" w:hAnsi="TH SarabunPSK" w:cs="Angsana New"/>
          <w:b/>
          <w:bCs/>
          <w:sz w:val="40"/>
          <w:szCs w:val="40"/>
        </w:rPr>
      </w:pP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7B5BEB">
        <w:rPr>
          <w:rFonts w:ascii="TH SarabunPSK" w:hAnsi="TH SarabunPSK"/>
          <w:b/>
          <w:bCs/>
          <w:sz w:val="40"/>
          <w:szCs w:val="40"/>
        </w:rPr>
        <w:t>25</w:t>
      </w:r>
      <w:r w:rsidR="007831D6" w:rsidRPr="007B5BEB">
        <w:rPr>
          <w:rFonts w:ascii="TH SarabunPSK" w:hAnsi="TH SarabunPSK"/>
          <w:b/>
          <w:bCs/>
          <w:sz w:val="40"/>
          <w:szCs w:val="40"/>
        </w:rPr>
        <w:t>6</w:t>
      </w:r>
      <w:r w:rsidR="001E0BB2" w:rsidRPr="007B5BEB">
        <w:rPr>
          <w:rFonts w:ascii="TH SarabunPSK" w:hAnsi="TH SarabunPSK"/>
          <w:b/>
          <w:bCs/>
          <w:sz w:val="40"/>
          <w:szCs w:val="40"/>
        </w:rPr>
        <w:t>2</w:t>
      </w:r>
    </w:p>
    <w:p w14:paraId="0F79FE03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5612825E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F2042B7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3AC35E8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709CCD6F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A821874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7BF1012A" w14:textId="07D80643" w:rsidR="00727146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0574F569" w14:textId="72F7720B" w:rsid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9DEF2FB" w14:textId="6C9BE9F7" w:rsid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46B8CD6" w14:textId="77777777" w:rsid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AB87A6D" w14:textId="77777777" w:rsidR="007B5BEB" w:rsidRP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7C69F18" w14:textId="77777777" w:rsidR="00727146" w:rsidRPr="007B5BEB" w:rsidRDefault="00E5795F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หลักสูตร.................................................................</w:t>
      </w:r>
    </w:p>
    <w:p w14:paraId="49D238DB" w14:textId="77777777" w:rsidR="00727146" w:rsidRPr="007B5BEB" w:rsidRDefault="00E5795F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</w:t>
      </w:r>
    </w:p>
    <w:p w14:paraId="20DBFAEF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2366057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B1AC850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7D8395AD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C120E5A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BBD59F4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A30B584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9B0548E" w14:textId="423D9F68" w:rsidR="00727146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511943A1" w14:textId="51445213" w:rsid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50D93E5" w14:textId="34EF8EBC" w:rsid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5439444" w14:textId="77777777" w:rsidR="007B5BEB" w:rsidRPr="007B5BEB" w:rsidRDefault="007B5BEB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0CA8AFFE" w14:textId="77777777" w:rsidR="00727146" w:rsidRPr="007B5BEB" w:rsidRDefault="0072714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E746609" w14:textId="77777777" w:rsidR="00727146" w:rsidRPr="007B5BEB" w:rsidRDefault="00E5795F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>คณะเทคโนโลยี</w:t>
      </w:r>
      <w:r w:rsidR="00140206" w:rsidRPr="007B5BEB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B5BEB">
        <w:rPr>
          <w:rFonts w:ascii="TH SarabunPSK" w:hAnsi="TH SarabunPSK" w:cs="TH SarabunPSK"/>
          <w:b/>
          <w:bCs/>
          <w:sz w:val="40"/>
          <w:szCs w:val="40"/>
          <w:cs/>
        </w:rPr>
        <w:t>เกษตร มหาวิทยาลัยกาฬสินธุ์</w:t>
      </w:r>
    </w:p>
    <w:p w14:paraId="127B3B0B" w14:textId="77777777" w:rsidR="00727146" w:rsidRPr="007B5BEB" w:rsidRDefault="00727146">
      <w:pPr>
        <w:pStyle w:val="NoSpacing"/>
        <w:ind w:firstLine="567"/>
        <w:jc w:val="center"/>
        <w:rPr>
          <w:b/>
          <w:bCs/>
          <w:sz w:val="40"/>
          <w:szCs w:val="40"/>
        </w:rPr>
      </w:pPr>
    </w:p>
    <w:p w14:paraId="26408688" w14:textId="77777777" w:rsidR="007B5BEB" w:rsidRDefault="007B5BEB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sectPr w:rsidR="007B5BEB" w:rsidSect="007B5BEB">
          <w:headerReference w:type="default" r:id="rId7"/>
          <w:footerReference w:type="default" r:id="rId8"/>
          <w:pgSz w:w="11906" w:h="16838"/>
          <w:pgMar w:top="1985" w:right="1134" w:bottom="1701" w:left="1418" w:header="357" w:footer="357" w:gutter="0"/>
          <w:cols w:space="720"/>
        </w:sectPr>
      </w:pPr>
    </w:p>
    <w:p w14:paraId="0DBB45DE" w14:textId="1D06BAFF" w:rsidR="00727146" w:rsidRPr="007B5BEB" w:rsidRDefault="00E5795F" w:rsidP="007B5BEB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EFEFE"/>
        </w:rPr>
      </w:pPr>
      <w:r w:rsidRPr="007B5BEB">
        <w:rPr>
          <w:rFonts w:ascii="TH SarabunPSK" w:hAnsi="TH SarabunPSK" w:cs="TH SarabunPSK"/>
          <w:b/>
          <w:bCs/>
          <w:sz w:val="36"/>
          <w:szCs w:val="36"/>
          <w:shd w:val="clear" w:color="auto" w:fill="FEFEFE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6474018E" w14:textId="77777777" w:rsidR="00727146" w:rsidRPr="007B5BEB" w:rsidRDefault="00E5795F" w:rsidP="007B5BEB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EFEFE"/>
        </w:rPr>
      </w:pPr>
      <w:r w:rsidRPr="007B5BEB">
        <w:rPr>
          <w:rFonts w:ascii="TH SarabunPSK" w:hAnsi="TH SarabunPSK" w:cs="TH SarabunPSK"/>
          <w:b/>
          <w:bCs/>
          <w:sz w:val="36"/>
          <w:szCs w:val="36"/>
          <w:shd w:val="clear" w:color="auto" w:fill="FEFEFE"/>
          <w:cs/>
        </w:rPr>
        <w:t>รายวิชา.........................................................................................</w:t>
      </w:r>
    </w:p>
    <w:p w14:paraId="516C8F5C" w14:textId="77777777" w:rsidR="00727146" w:rsidRDefault="00727146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CC4900B" w14:textId="77777777" w:rsidR="00727146" w:rsidRDefault="00E5795F" w:rsidP="007B5BEB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ชื่อสถาบันอุดมศึกษา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 มหาวิทยาลัยกาฬสินธุ์</w:t>
      </w:r>
    </w:p>
    <w:p w14:paraId="2BD6C4BF" w14:textId="77777777" w:rsidR="00727146" w:rsidRDefault="00E5795F" w:rsidP="007B5BEB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คณะ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 เทคโนโลยี</w:t>
      </w:r>
      <w:r w:rsidR="00140206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เกษตร</w:t>
      </w:r>
    </w:p>
    <w:p w14:paraId="6946A98D" w14:textId="77777777" w:rsidR="00727146" w:rsidRDefault="00E5795F" w:rsidP="007B5BEB">
      <w:pPr>
        <w:pStyle w:val="NoSpacing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 ข้อมูลทั่วไป</w:t>
      </w:r>
    </w:p>
    <w:p w14:paraId="56E38214" w14:textId="77FF0D95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ชื่อหลักสูตร...............................................................................................................................................</w:t>
      </w:r>
    </w:p>
    <w:p w14:paraId="71021CC5" w14:textId="32E4479D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รหัสและชื่อรายวิชา..................................................................................................................................</w:t>
      </w:r>
    </w:p>
    <w:p w14:paraId="791693CB" w14:textId="13784F4B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อาจารย์ผู้รับผิดชอบรายวิชาและอาจารย์ผู้สอน.......................................................................................</w:t>
      </w:r>
    </w:p>
    <w:p w14:paraId="7230D80A" w14:textId="5D786276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ภาคการศึกษา ...........ปีการศึกษา......................................................................................................................</w:t>
      </w:r>
    </w:p>
    <w:p w14:paraId="56DCFD3B" w14:textId="2483ABBC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นักศึกษา.............................................................................................................................................................</w:t>
      </w:r>
    </w:p>
    <w:p w14:paraId="76EB952D" w14:textId="61687F41" w:rsidR="00727146" w:rsidRDefault="00E5795F" w:rsidP="007B5BEB">
      <w:pPr>
        <w:pStyle w:val="NoSpacing"/>
        <w:numPr>
          <w:ilvl w:val="0"/>
          <w:numId w:val="2"/>
        </w:numPr>
        <w:tabs>
          <w:tab w:val="clear" w:pos="960"/>
          <w:tab w:val="num" w:pos="284"/>
        </w:tabs>
        <w:ind w:left="0" w:firstLine="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สถานที่เรียน........................................................................................................................................................</w:t>
      </w:r>
    </w:p>
    <w:p w14:paraId="00E6D608" w14:textId="77777777" w:rsidR="007B5BEB" w:rsidRDefault="007B5BEB" w:rsidP="007B5BEB">
      <w:pPr>
        <w:pStyle w:val="NoSpacing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46C6C9E5" w14:textId="77777777" w:rsidR="00727146" w:rsidRDefault="00E5795F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หมวดที่ 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ผลการทวนสอบ</w:t>
      </w:r>
    </w:p>
    <w:tbl>
      <w:tblPr>
        <w:tblStyle w:val="TableNormal1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5266"/>
        <w:gridCol w:w="851"/>
        <w:gridCol w:w="851"/>
        <w:gridCol w:w="2268"/>
      </w:tblGrid>
      <w:tr w:rsidR="00727146" w14:paraId="67C80A93" w14:textId="77777777" w:rsidTr="001E0BB2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3B6B" w14:textId="02D0E058" w:rsidR="00727146" w:rsidRDefault="00E5795F" w:rsidP="001E0BB2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หัวข้อและรายละเอียดการทวนสอบ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60EC" w14:textId="77777777" w:rsidR="00727146" w:rsidRDefault="00E5795F" w:rsidP="001E0BB2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ผลการทวนสอบ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0A8A" w14:textId="77777777" w:rsidR="00727146" w:rsidRDefault="00E5795F" w:rsidP="001E0BB2">
            <w:pPr>
              <w:pStyle w:val="TableStyle1"/>
              <w:jc w:val="center"/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รายละเอียดที่ไม่สอดคล้อง/ข้อเสนอแนะ</w:t>
            </w:r>
          </w:p>
        </w:tc>
      </w:tr>
      <w:tr w:rsidR="00727146" w14:paraId="6CAF5BD9" w14:textId="77777777" w:rsidTr="001E0BB2">
        <w:trPr>
          <w:trHeight w:val="6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9D52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C3294" w14:textId="77777777" w:rsidR="00E97E41" w:rsidRPr="001E0BB2" w:rsidRDefault="00E97E41" w:rsidP="001E0BB2">
            <w:pPr>
              <w:pStyle w:val="TableStyle1"/>
              <w:jc w:val="center"/>
              <w:rPr>
                <w:rFonts w:ascii="TH SarabunPSK" w:hAnsi="TH SarabunPSK" w:cs="TH SarabunPSK"/>
                <w:szCs w:val="25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สอด</w:t>
            </w:r>
          </w:p>
          <w:p w14:paraId="1C345082" w14:textId="677D313A" w:rsidR="00727146" w:rsidRPr="001E0BB2" w:rsidRDefault="00E97E41" w:rsidP="001E0BB2">
            <w:pPr>
              <w:pStyle w:val="TableStyle1"/>
              <w:jc w:val="center"/>
              <w:rPr>
                <w:rFonts w:ascii="TH SarabunPSK" w:hAnsi="TH SarabunPSK" w:cs="TH SarabunPSK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คล้อง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BA9D" w14:textId="315196FC" w:rsidR="00E97E41" w:rsidRPr="001E0BB2" w:rsidRDefault="00E97E41" w:rsidP="001E0BB2">
            <w:pPr>
              <w:pStyle w:val="TableStyle1"/>
              <w:jc w:val="center"/>
              <w:rPr>
                <w:rFonts w:ascii="TH SarabunPSK" w:hAnsi="TH SarabunPSK" w:cs="TH SarabunPSK"/>
                <w:szCs w:val="25"/>
              </w:rPr>
            </w:pPr>
            <w:r w:rsidRPr="001E0BB2">
              <w:rPr>
                <w:rFonts w:ascii="TH SarabunPSK" w:hAnsi="TH SarabunPSK" w:cs="TH SarabunPSK"/>
                <w:szCs w:val="25"/>
                <w:cs/>
              </w:rPr>
              <w:t>ไม่สอด</w:t>
            </w:r>
          </w:p>
          <w:p w14:paraId="1E0150C3" w14:textId="643AF665" w:rsidR="00727146" w:rsidRPr="001E0BB2" w:rsidRDefault="00E97E41" w:rsidP="001E0BB2">
            <w:pPr>
              <w:jc w:val="center"/>
              <w:rPr>
                <w:rFonts w:ascii="TH SarabunPSK" w:hAnsi="TH SarabunPSK" w:cs="TH SarabunPSK"/>
              </w:rPr>
            </w:pPr>
            <w:r w:rsidRPr="001E0BB2">
              <w:rPr>
                <w:rFonts w:ascii="TH SarabunPSK" w:hAnsi="TH SarabunPSK" w:cs="TH SarabunPSK"/>
                <w:b/>
                <w:bCs/>
                <w:szCs w:val="25"/>
                <w:cs/>
              </w:rPr>
              <w:t>คล้อง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11E5" w14:textId="77777777" w:rsidR="00727146" w:rsidRDefault="00727146"/>
        </w:tc>
      </w:tr>
      <w:tr w:rsidR="00727146" w14:paraId="6864406C" w14:textId="77777777" w:rsidTr="001E0BB2">
        <w:tblPrEx>
          <w:shd w:val="clear" w:color="auto" w:fill="auto"/>
        </w:tblPrEx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6395FC" w14:textId="77777777" w:rsidR="00727146" w:rsidRDefault="00E5795F" w:rsidP="00E97E41">
            <w:pPr>
              <w:pStyle w:val="TableStyle2"/>
              <w:ind w:hanging="338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ความสอดคล้องของรายวิชา มคอ.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กับหลักสูตร มคอ.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2</w:t>
            </w:r>
          </w:p>
          <w:p w14:paraId="6D7DABA7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shd w:val="clear" w:color="auto" w:fill="FEFEFE"/>
                <w:cs/>
              </w:rPr>
              <w:t>คำอธิบายรายวิชา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กับกับหลักสูตร มคอ.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0DF9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B6F0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F8D8" w14:textId="77777777" w:rsidR="00727146" w:rsidRDefault="00727146"/>
        </w:tc>
      </w:tr>
      <w:tr w:rsidR="00727146" w14:paraId="5D36E9F9" w14:textId="77777777" w:rsidTr="001E0BB2">
        <w:tblPrEx>
          <w:shd w:val="clear" w:color="auto" w:fill="auto"/>
        </w:tblPrEx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90853C9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shd w:val="clear" w:color="auto" w:fill="FEFEFE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EFEFE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มาตรฐานผลการเรียนรู้ ว่าการกำหนดจุดขาว/ดำ วิธีการสอนและการประเมินผล สอดคล้องกับ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proofErr w:type="gramStart"/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ผลการเรียนรู้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กลยุทธ์การสอนและการประเมินผลและ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>curriculum mapping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3D14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1A28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4DF7" w14:textId="77777777" w:rsidR="00727146" w:rsidRDefault="00727146"/>
        </w:tc>
      </w:tr>
      <w:tr w:rsidR="00727146" w14:paraId="2C5D0482" w14:textId="77777777" w:rsidTr="001E0BB2">
        <w:tblPrEx>
          <w:shd w:val="clear" w:color="auto" w:fill="auto"/>
        </w:tblPrEx>
        <w:trPr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BAEF38" w14:textId="77777777" w:rsidR="00727146" w:rsidRDefault="00E5795F" w:rsidP="00E97E41">
            <w:pPr>
              <w:pStyle w:val="TableStyle2"/>
              <w:ind w:hanging="33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จุดมุ่งหมายรายวิชากับมาตรฐานผลการเรียนรู </w:t>
            </w:r>
          </w:p>
          <w:p w14:paraId="0477F131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ทวนสอบ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กับ มคอ.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มาตรฐานการเรียนรู้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ด้าน พิจารณาว่า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shd w:val="clear" w:color="auto" w:fill="FEFEFE"/>
                <w:cs/>
              </w:rPr>
              <w:t>จุดมุ่งหมายรายวิชา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 xml:space="preserve"> มีความสอดคล้องและครอบคลุมมาตรฐานการเรียนรู้ </w:t>
            </w:r>
            <w:r>
              <w:rPr>
                <w:rFonts w:ascii="TH SarabunPSK" w:hAnsi="TH SarabunPSK"/>
                <w:sz w:val="28"/>
                <w:szCs w:val="28"/>
                <w:shd w:val="clear" w:color="auto" w:fill="FEFEFE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EFEFE"/>
                <w:cs/>
              </w:rPr>
              <w:t>ด้าน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A0F9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1E76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82F1" w14:textId="77777777" w:rsidR="00727146" w:rsidRDefault="00727146"/>
        </w:tc>
      </w:tr>
      <w:tr w:rsidR="00727146" w14:paraId="14747E7F" w14:textId="77777777" w:rsidTr="001E0BB2">
        <w:tblPrEx>
          <w:shd w:val="clear" w:color="auto" w:fill="auto"/>
        </w:tblPrEx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C878" w14:textId="77777777" w:rsidR="00727146" w:rsidRDefault="00E5795F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เนื้อหาการสอน</w:t>
            </w:r>
          </w:p>
          <w:p w14:paraId="3F5163E2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คำอธิบายรายวิชา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กับ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หัวข้อที่สอน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 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แผนการสอน ว่ามีเนื้อหาครบถ้วน สอดคล้องกับจุดประสงค์และมาตรฐานผลการเรียนรู้ และจัดแผนการสอน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ครบ 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 xml:space="preserve">15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A919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EF50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919F" w14:textId="77777777" w:rsidR="00727146" w:rsidRDefault="00727146"/>
        </w:tc>
      </w:tr>
      <w:tr w:rsidR="00727146" w14:paraId="72E1CC7F" w14:textId="77777777" w:rsidTr="001E0BB2">
        <w:tblPrEx>
          <w:shd w:val="clear" w:color="auto" w:fill="auto"/>
        </w:tblPrEx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79D2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การพัฒนาผลการเรียนรู้ ว่ามีการกำหนด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วิธีการสอน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วิธีการประเมินผล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4328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3585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D695" w14:textId="77777777" w:rsidR="00727146" w:rsidRDefault="00727146"/>
        </w:tc>
      </w:tr>
      <w:tr w:rsidR="00727146" w14:paraId="3B30654D" w14:textId="77777777" w:rsidTr="001E0BB2">
        <w:tblPrEx>
          <w:shd w:val="clear" w:color="auto" w:fill="auto"/>
        </w:tblPrEx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1115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มคอ.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  <w:u w:val="single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เช่น บางรายวิชามีระบุมาตรฐานการเรียนรู้ไว้ในหมวดที่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แต่ไม่ปรากฏในหมวดที่ </w:t>
            </w:r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30AA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C206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38F9" w14:textId="77777777" w:rsidR="00727146" w:rsidRDefault="00727146"/>
        </w:tc>
      </w:tr>
      <w:tr w:rsidR="00727146" w14:paraId="0E8B05E6" w14:textId="77777777" w:rsidTr="001E0BB2">
        <w:tblPrEx>
          <w:shd w:val="clear" w:color="auto" w:fill="auto"/>
        </w:tblPrEx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0154" w14:textId="77777777" w:rsidR="00727146" w:rsidRDefault="00E5795F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การวัดและประเมินผล</w:t>
            </w:r>
          </w:p>
          <w:p w14:paraId="1D5EE2DD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วิธีการวัดและประเมินผล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ทวนสอบ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แผนการสอน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การประเมินผล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ว่าสอดคล้องและครบถ้วน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E89D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AEF3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4093" w14:textId="77777777" w:rsidR="00727146" w:rsidRDefault="00727146"/>
        </w:tc>
      </w:tr>
      <w:tr w:rsidR="00727146" w14:paraId="0FCC24D6" w14:textId="77777777" w:rsidTr="001E0BB2">
        <w:tblPrEx>
          <w:shd w:val="clear" w:color="auto" w:fill="auto"/>
        </w:tblPrEx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FF68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การทวนสอบการให้คะแนนและเกรด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กับการวัดและประเมินผลจริง (แบ่งเป็นคะแนนอะไรบ้าง เช่น กลางภาค สอบย่อย ปลายภาค งาน จิตพิสัย เวลาสอนจริงแบ่งและให้คะแนนตามนั้นหรือไม่)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EAC2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F43D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80E2" w14:textId="77777777" w:rsidR="00727146" w:rsidRDefault="00727146"/>
        </w:tc>
      </w:tr>
      <w:tr w:rsidR="00727146" w14:paraId="0F7215FB" w14:textId="77777777" w:rsidTr="001E0BB2">
        <w:tblPrEx>
          <w:shd w:val="clear" w:color="auto" w:fill="auto"/>
        </w:tblPrEx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EB34" w14:textId="77777777" w:rsidR="00727146" w:rsidRDefault="00E5795F">
            <w:pPr>
              <w:pStyle w:val="TableStyle2"/>
              <w:ind w:left="283"/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สุ่มตรวจข้อสอบและชิ้นงาน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สุ่มตรวจ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ข้อสอบ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ว่าสอดคล้องกับ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เนื้อหา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ที่ได้กำหนดไว้หรือไม่ และหรือสุ่มตรวจชิ้นงานที่ระบุไว้ในแผนการสอน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EBFB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B79A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6A5C" w14:textId="77777777" w:rsidR="00727146" w:rsidRDefault="00727146"/>
        </w:tc>
      </w:tr>
      <w:tr w:rsidR="00727146" w14:paraId="2272571F" w14:textId="77777777" w:rsidTr="001E0BB2">
        <w:tblPrEx>
          <w:shd w:val="clear" w:color="auto" w:fill="auto"/>
        </w:tblPrEx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E765" w14:textId="77777777" w:rsidR="00727146" w:rsidRDefault="00E5795F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มาตรฐานผลการเรียนรู้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E3C8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648C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101E" w14:textId="77777777" w:rsidR="00727146" w:rsidRDefault="00727146"/>
        </w:tc>
      </w:tr>
      <w:tr w:rsidR="00727146" w14:paraId="14FF3A87" w14:textId="77777777" w:rsidTr="001E0BB2">
        <w:tblPrEx>
          <w:shd w:val="clear" w:color="auto" w:fill="auto"/>
        </w:tblPrEx>
        <w:trPr>
          <w:trHeight w:val="2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784FC6F" w14:textId="77777777" w:rsidR="00727146" w:rsidRDefault="00E5795F" w:rsidP="00E97E41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วิธีการประเมินผล</w:t>
            </w:r>
          </w:p>
          <w:p w14:paraId="63D4DC54" w14:textId="77777777" w:rsidR="00727146" w:rsidRDefault="00E5795F" w:rsidP="00E97E41">
            <w:pPr>
              <w:pStyle w:val="TableStyle2"/>
              <w:rPr>
                <w:rFonts w:ascii="TH SarabunPSK" w:eastAsia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ในส่วนที่เป็นวิธีการประเมินผลในแต่ละมาตรฐานการเรียนรู้ 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กับการวัดและประเมินผลจริง</w:t>
            </w:r>
          </w:p>
          <w:p w14:paraId="78157095" w14:textId="77777777" w:rsidR="00727146" w:rsidRDefault="00E5795F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ด้านคุณธรรมและจริยธรรม</w:t>
            </w:r>
          </w:p>
          <w:p w14:paraId="698CFDCF" w14:textId="77777777" w:rsidR="00727146" w:rsidRDefault="00E5795F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ด้านความรู้</w:t>
            </w:r>
          </w:p>
          <w:p w14:paraId="60F1EDCD" w14:textId="77777777" w:rsidR="00727146" w:rsidRDefault="00E5795F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ด้านทักษะทางปัญญา</w:t>
            </w:r>
          </w:p>
          <w:p w14:paraId="3C3CB820" w14:textId="77777777" w:rsidR="00727146" w:rsidRDefault="00E5795F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ด้านความสัมพันธ์ระหว่างบุคคล</w:t>
            </w:r>
          </w:p>
          <w:p w14:paraId="007077A0" w14:textId="77777777" w:rsidR="00727146" w:rsidRDefault="00E5795F">
            <w:pPr>
              <w:pStyle w:val="TableStyle2"/>
              <w:ind w:left="283" w:firstLine="2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ด้ารการวิเคราะห์เชิงตัวเลข การสื่อสาร เทคโนโลยีฯ</w:t>
            </w:r>
          </w:p>
          <w:p w14:paraId="75A9D9FD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ว่ามาตรฐานการเรียนรู้กับกลยุทธ์การสอนที่ระบุไว้ใน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สอดคล้องกันหรือไม่และมีประสิทธิผลหรือไม่อย่างไร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A6D7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42B9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8B06" w14:textId="77777777" w:rsidR="00727146" w:rsidRDefault="00727146"/>
        </w:tc>
      </w:tr>
      <w:tr w:rsidR="00727146" w14:paraId="0F265C6F" w14:textId="77777777" w:rsidTr="001E0BB2">
        <w:tblPrEx>
          <w:shd w:val="clear" w:color="auto" w:fill="auto"/>
        </w:tblPrEx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74FC40" w14:textId="77777777" w:rsidR="00727146" w:rsidRDefault="00E5795F" w:rsidP="00E97E41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คะแนนแต่ละมาตรฐานการเรียนรู้ </w:t>
            </w:r>
          </w:p>
          <w:p w14:paraId="08FDE75D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ทวนสอบจาก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ว่าคะแนนในแต่ละมาตรฐานที่ได้กับหนดไว้กับที่ได้ดำเนินการจริงมีความสอดคล้องกัน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9289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4AA4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4A3F" w14:textId="77777777" w:rsidR="00727146" w:rsidRDefault="00727146">
            <w:pPr>
              <w:pStyle w:val="TableStyle2"/>
              <w:jc w:val="center"/>
            </w:pPr>
          </w:p>
          <w:p w14:paraId="7CB03677" w14:textId="77777777" w:rsidR="00727146" w:rsidRDefault="00727146">
            <w:pPr>
              <w:pStyle w:val="TableStyle2"/>
              <w:jc w:val="center"/>
            </w:pPr>
          </w:p>
        </w:tc>
      </w:tr>
      <w:tr w:rsidR="00727146" w14:paraId="046A37DC" w14:textId="77777777" w:rsidTr="001E0BB2">
        <w:tblPrEx>
          <w:shd w:val="clear" w:color="auto" w:fill="auto"/>
        </w:tblPrEx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DB4C2B3" w14:textId="77777777" w:rsidR="00727146" w:rsidRDefault="00E5795F" w:rsidP="00E97E41">
            <w:pPr>
              <w:pStyle w:val="TableStyle2"/>
              <w:ind w:hanging="5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แผนการประเมินผล</w:t>
            </w:r>
          </w:p>
          <w:p w14:paraId="2A9E2598" w14:textId="77777777" w:rsidR="00727146" w:rsidRDefault="00E5795F" w:rsidP="00E97E41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ทวนสอบ มคอ.</w:t>
            </w: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PSK" w:hAnsi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ว่าแผนการประเมินผล (สัปดาห์ที่ประเมิน) กับการดำเนินการจริงมีความสอดคล้องกัน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0686" w14:textId="77777777" w:rsidR="00727146" w:rsidRDefault="00727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EF0A" w14:textId="77777777" w:rsidR="00727146" w:rsidRDefault="007271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1A7C" w14:textId="77777777" w:rsidR="00727146" w:rsidRDefault="00727146">
            <w:pPr>
              <w:pStyle w:val="TableStyle2"/>
              <w:jc w:val="center"/>
            </w:pPr>
          </w:p>
          <w:p w14:paraId="37270EAB" w14:textId="77777777" w:rsidR="00727146" w:rsidRDefault="00727146">
            <w:pPr>
              <w:pStyle w:val="TableStyle2"/>
              <w:jc w:val="center"/>
            </w:pPr>
          </w:p>
          <w:p w14:paraId="706A8744" w14:textId="77777777" w:rsidR="00727146" w:rsidRDefault="00727146">
            <w:pPr>
              <w:pStyle w:val="TableStyle2"/>
              <w:jc w:val="center"/>
            </w:pPr>
          </w:p>
          <w:p w14:paraId="41D4310B" w14:textId="77777777" w:rsidR="00727146" w:rsidRDefault="00727146">
            <w:pPr>
              <w:pStyle w:val="TableStyle2"/>
              <w:jc w:val="center"/>
            </w:pPr>
          </w:p>
        </w:tc>
      </w:tr>
      <w:tr w:rsidR="00727146" w14:paraId="55DE73F6" w14:textId="77777777" w:rsidTr="001E0BB2">
        <w:tblPrEx>
          <w:shd w:val="clear" w:color="auto" w:fill="auto"/>
        </w:tblPrEx>
        <w:trPr>
          <w:trHeight w:val="1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A39F" w14:textId="77777777" w:rsidR="00727146" w:rsidRDefault="00E5795F">
            <w:pPr>
              <w:pStyle w:val="TableStyle2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สรุปผลการจัดการเรียนการสอน</w:t>
            </w:r>
          </w:p>
          <w:p w14:paraId="2CAB0D83" w14:textId="4A152852" w:rsidR="00727146" w:rsidRDefault="00E5795F" w:rsidP="007B5BEB">
            <w:pPr>
              <w:pStyle w:val="TableStyle2"/>
              <w:ind w:firstLine="283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ลักษณะการกระจายของผลสัมฤทธ์ทางการเรียน เป็นอย่างไร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(ปกติ: นักศึกษาส่วนใหญ่ได้คะแนนกลางๆ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เบ้ซ้าย: นักศึกษาส่วนใหญ่ได้คะแนนสูง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เบ้ขวา:นักศึกษาส่วนใหญ่ได้คะแนนต่ำ</w:t>
            </w:r>
            <w:r>
              <w:rPr>
                <w:rFonts w:ascii="TH SarabunPSK" w:hAnsi="TH SarabunPSK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ไม่สามารถบอกการกระจายได้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3315" w14:textId="77777777" w:rsidR="00727146" w:rsidRDefault="00727146"/>
        </w:tc>
      </w:tr>
    </w:tbl>
    <w:p w14:paraId="52137B35" w14:textId="77777777" w:rsidR="00727146" w:rsidRDefault="00727146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868CDB8" w14:textId="77777777" w:rsidR="007B5BEB" w:rsidRDefault="007B5BEB" w:rsidP="001E0BB2">
      <w:pPr>
        <w:pStyle w:val="NoSpacing"/>
        <w:ind w:firstLine="567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326074E" w14:textId="77777777" w:rsidR="007B5BEB" w:rsidRDefault="007B5BEB" w:rsidP="001E0BB2">
      <w:pPr>
        <w:pStyle w:val="NoSpacing"/>
        <w:ind w:firstLine="567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06A8E19" w14:textId="77A8D5FB" w:rsidR="00727146" w:rsidRDefault="00E5795F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lastRenderedPageBreak/>
        <w:t>สรุปผลการทวนสอบ</w:t>
      </w:r>
    </w:p>
    <w:p w14:paraId="22DA39DD" w14:textId="6E1C2B00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28EA9287" w14:textId="32093B4C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4A040435" w14:textId="27954E4F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72243D1" w14:textId="1BC2280F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890653F" w14:textId="27159323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688DDD4" w14:textId="668663C2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B41799E" w14:textId="77777777" w:rsidR="00727146" w:rsidRDefault="00727146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9E35547" w14:textId="77777777" w:rsidR="00727146" w:rsidRDefault="00E5795F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ข้อเสนอแนะ</w:t>
      </w:r>
    </w:p>
    <w:p w14:paraId="614B4514" w14:textId="5E03BECD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FA60AA0" w14:textId="4733CDB8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3FF2675A" w14:textId="10ACCA37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5173CF9F" w14:textId="6FB09A1E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62F0DE20" w14:textId="0005E233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4D8669E2" w14:textId="71807BF5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3898F166" w14:textId="16F8BF4D" w:rsidR="00727146" w:rsidRDefault="00E5795F" w:rsidP="007B5BEB">
      <w:pPr>
        <w:pStyle w:val="NoSpacing"/>
        <w:spacing w:line="312" w:lineRule="auto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5E7197EA" w14:textId="77777777" w:rsidR="00727146" w:rsidRDefault="00727146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6DDDF3F" w14:textId="77777777" w:rsidR="00727146" w:rsidRDefault="00E5795F" w:rsidP="001E0BB2">
      <w:pPr>
        <w:pStyle w:val="NoSpacing"/>
        <w:ind w:firstLine="567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อนุกรรมการทวนสอบ</w:t>
      </w:r>
    </w:p>
    <w:p w14:paraId="48CA5BAA" w14:textId="77777777" w:rsidR="00727146" w:rsidRDefault="00727146" w:rsidP="001E0BB2">
      <w:pPr>
        <w:pStyle w:val="NoSpacing"/>
        <w:ind w:firstLine="850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162B5231" w14:textId="77777777" w:rsidR="00727146" w:rsidRDefault="00727146" w:rsidP="001E0BB2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16FCD594" w14:textId="77777777" w:rsidR="00CA3193" w:rsidRDefault="00CA3193" w:rsidP="001E0BB2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7C9A55F2" w14:textId="77777777" w:rsidR="00727146" w:rsidRDefault="00727146" w:rsidP="001E0BB2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47E0142F" w14:textId="77777777" w:rsidR="00727146" w:rsidRDefault="00727146" w:rsidP="001E0BB2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7A731EDF" w14:textId="77777777" w:rsidR="00727146" w:rsidRDefault="00E5795F" w:rsidP="001E0BB2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.......................................................</w:t>
      </w:r>
    </w:p>
    <w:p w14:paraId="2D743C03" w14:textId="77777777" w:rsidR="00727146" w:rsidRDefault="007831D6" w:rsidP="001E0BB2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   </w:t>
      </w:r>
      <w:r w:rsidR="00E5795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(…………………………………………………….)</w:t>
      </w:r>
    </w:p>
    <w:p w14:paraId="5F2F0140" w14:textId="77777777" w:rsidR="00727146" w:rsidRDefault="00E5795F" w:rsidP="001E0BB2">
      <w:pPr>
        <w:pStyle w:val="NoSpacing"/>
        <w:ind w:firstLine="567"/>
        <w:jc w:val="center"/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..............................................(ประธาน/กรรมการ/กรรมการและเลขานุการ)</w:t>
      </w:r>
    </w:p>
    <w:sectPr w:rsidR="00727146" w:rsidSect="007B5BEB">
      <w:pgSz w:w="11906" w:h="16838"/>
      <w:pgMar w:top="1418" w:right="1134" w:bottom="1134" w:left="1418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A063" w14:textId="77777777" w:rsidR="004312F5" w:rsidRDefault="004312F5">
      <w:r>
        <w:separator/>
      </w:r>
    </w:p>
  </w:endnote>
  <w:endnote w:type="continuationSeparator" w:id="0">
    <w:p w14:paraId="24B9AEB0" w14:textId="77777777" w:rsidR="004312F5" w:rsidRDefault="004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B0DC" w14:textId="77777777" w:rsidR="00727146" w:rsidRDefault="007271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908D" w14:textId="77777777" w:rsidR="004312F5" w:rsidRDefault="004312F5">
      <w:r>
        <w:separator/>
      </w:r>
    </w:p>
  </w:footnote>
  <w:footnote w:type="continuationSeparator" w:id="0">
    <w:p w14:paraId="65CB9ADD" w14:textId="77777777" w:rsidR="004312F5" w:rsidRDefault="0043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6E7D" w14:textId="77777777" w:rsidR="00727146" w:rsidRDefault="00E5795F">
    <w:pPr>
      <w:pStyle w:val="HeaderFooter"/>
      <w:tabs>
        <w:tab w:val="clear" w:pos="9020"/>
        <w:tab w:val="center" w:pos="5053"/>
        <w:tab w:val="right" w:pos="10106"/>
      </w:tabs>
    </w:pP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 w:cs="TH SarabunPSK"/>
        <w:i/>
        <w:iCs/>
        <w:sz w:val="28"/>
        <w:szCs w:val="28"/>
        <w:cs/>
      </w:rPr>
      <w:t xml:space="preserve">ทส. </w:t>
    </w:r>
    <w:r>
      <w:rPr>
        <w:rFonts w:ascii="TH SarabunPSK" w:hAnsi="TH SarabunPSK"/>
        <w:i/>
        <w:iCs/>
        <w:sz w:val="28"/>
        <w:szCs w:val="28"/>
      </w:rPr>
      <w:t xml:space="preserve">04 </w:t>
    </w:r>
    <w:r>
      <w:rPr>
        <w:rFonts w:ascii="TH SarabunPSK" w:hAnsi="TH SarabunPSK" w:cs="TH SarabunPSK"/>
        <w:i/>
        <w:iCs/>
        <w:sz w:val="28"/>
        <w:szCs w:val="28"/>
        <w:cs/>
      </w:rPr>
      <w:t>สำหรับคณะอนุกรรมการ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0A69"/>
    <w:multiLevelType w:val="hybridMultilevel"/>
    <w:tmpl w:val="E9F045F2"/>
    <w:numStyleLink w:val="Numbered"/>
  </w:abstractNum>
  <w:abstractNum w:abstractNumId="1" w15:restartNumberingAfterBreak="0">
    <w:nsid w:val="71510723"/>
    <w:multiLevelType w:val="hybridMultilevel"/>
    <w:tmpl w:val="E9F045F2"/>
    <w:styleLink w:val="Numbered"/>
    <w:lvl w:ilvl="0" w:tplc="CAE09626">
      <w:start w:val="1"/>
      <w:numFmt w:val="decimal"/>
      <w:lvlText w:val="%1.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A04FA">
      <w:start w:val="1"/>
      <w:numFmt w:val="decimal"/>
      <w:lvlText w:val="%2."/>
      <w:lvlJc w:val="left"/>
      <w:pPr>
        <w:tabs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EC358">
      <w:start w:val="1"/>
      <w:numFmt w:val="decimal"/>
      <w:lvlText w:val="%3."/>
      <w:lvlJc w:val="left"/>
      <w:pPr>
        <w:tabs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DE95BC">
      <w:start w:val="1"/>
      <w:numFmt w:val="decimal"/>
      <w:lvlText w:val="%4."/>
      <w:lvlJc w:val="left"/>
      <w:pPr>
        <w:tabs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72494A">
      <w:start w:val="1"/>
      <w:numFmt w:val="decimal"/>
      <w:lvlText w:val="%5."/>
      <w:lvlJc w:val="left"/>
      <w:pPr>
        <w:tabs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C26458">
      <w:start w:val="1"/>
      <w:numFmt w:val="decimal"/>
      <w:lvlText w:val="%6."/>
      <w:lvlJc w:val="left"/>
      <w:pPr>
        <w:tabs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80844">
      <w:start w:val="1"/>
      <w:numFmt w:val="decimal"/>
      <w:lvlText w:val="%7."/>
      <w:lvlJc w:val="left"/>
      <w:pPr>
        <w:tabs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D69436">
      <w:start w:val="1"/>
      <w:numFmt w:val="decimal"/>
      <w:lvlText w:val="%8."/>
      <w:lvlJc w:val="left"/>
      <w:pPr>
        <w:tabs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205C6">
      <w:start w:val="1"/>
      <w:numFmt w:val="decimal"/>
      <w:lvlText w:val="%9."/>
      <w:lvlJc w:val="left"/>
      <w:pPr>
        <w:tabs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46"/>
    <w:rsid w:val="00001180"/>
    <w:rsid w:val="00140206"/>
    <w:rsid w:val="001E0BB2"/>
    <w:rsid w:val="003F1D97"/>
    <w:rsid w:val="004312F5"/>
    <w:rsid w:val="006164CB"/>
    <w:rsid w:val="0071766C"/>
    <w:rsid w:val="00727146"/>
    <w:rsid w:val="007831D6"/>
    <w:rsid w:val="007B5BEB"/>
    <w:rsid w:val="00832200"/>
    <w:rsid w:val="00C66416"/>
    <w:rsid w:val="00C75945"/>
    <w:rsid w:val="00CA3193"/>
    <w:rsid w:val="00D0777B"/>
    <w:rsid w:val="00E5795F"/>
    <w:rsid w:val="00E97E41"/>
    <w:rsid w:val="00F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94EA"/>
  <w15:docId w15:val="{A91C3725-33D4-4B9A-877D-B22CD53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Agro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 agro</dc:creator>
  <cp:lastModifiedBy>Ryan Tiggs</cp:lastModifiedBy>
  <cp:revision>2</cp:revision>
  <cp:lastPrinted>2018-05-23T09:33:00Z</cp:lastPrinted>
  <dcterms:created xsi:type="dcterms:W3CDTF">2020-05-12T09:08:00Z</dcterms:created>
  <dcterms:modified xsi:type="dcterms:W3CDTF">2020-05-12T09:08:00Z</dcterms:modified>
</cp:coreProperties>
</file>